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1.6. Право на получение Гранта имеют участники, соответствующие следующим критериям: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наличие паспорта организации отдыха детей и их оздоровления, оформленного в соответствии с требованиями, установленными </w:t>
      </w:r>
      <w:hyperlink r:id="rId4" w:tooltip="Распоряжение Правительства ХМАО - Югры от 03.11.2011 N 624-рп (ред. от 01.12.2017) &quot;О типовой форме паспорта организаций отдыха детей и их оздоровления, действующих в Ханты-Мансийском автономном округе - Югре&quot;{КонсультантПлюс}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распоряжением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Правительства автономного округа от 3 ноября 2011 года N 624-рп "О типовой форме паспорта организаций отдыха детей и их оздоровления, действующих в Ханты-Мансийском автономном округе - Югре";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включен в реестр организаций отдыха детей и их оздоровления автономного округа (на дату подачи заявки), размещенный на официальном сайте Департамента в информационно-телекоммуникационной сети Интернет (https://depobr-molod.admhmao.ru) (далее - официальный сайт).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1.8. Конкурс проводится по следующим номинациям: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"Лучший загородный оздоровительный лагерь";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"Лучший лагерь с этнокультурным компонентом";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"Лучший палаточный лагерь";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"Лучший лагерь труда и отдыха".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Раздел II. ПОРЯДОК ПРОВЕДЕНИЯ КОНКУРСА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2.1. Департамент ежегодно утверждает своим приказом срок проведения Конкурса.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Не менее чем за 10 рабочих дней до начала Конкурса Департамент размещает на едином портале (при наличии технической возможности) и на официальном сайте объявление о его проведении, которое содержит информацию, предусмотренную </w:t>
      </w:r>
      <w:hyperlink r:id="rId5" w:tooltip="Постановление Правительства РФ от 18.09.2020 N 1492 (ред. от 05.04.2022) &quot;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подпунктом "б" пункта 4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общих требований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18 сентября 2020 года N 1492, а также типовую форму соглашения о предоставлении Гранта (далее - соглашение).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С 1 января 2025 года объявление о проведении Конкурса размещается на едином портале (в случае проведения Конкурса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 или на ином сайте, на котором обеспечивается проведение Конкурса (с размещением указателя страницы сайта на едином портале)), а также на официальном сайте в информационно-телекоммуникационной сети Интернет.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0" w:name="Par11459"/>
      <w:bookmarkEnd w:id="0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2.2. На дату начала срока приема заявок участник должен соответствовать следующим требованиям: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не иметь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не иметь просроченной задолженности по возврату в бюджет автономного округа субсидий, бюджетных инвестиций, предоставленных в том числе в соответствии с иными правовыми актами, а также иной просроченной (неурегулированной) задолженность по денежным обязательствам перед автономным округом;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не находиться в процессе реорганизации (за исключением реорганизации в форме присоединения к участнику другого юридического лица), ликвидации, в отношении него не введена процедура банкротства, деятельность не приостановлена в порядке, предусмотренном законодательством Российской Федерации (для юридических лиц), не прекратил деятельность в качестве индивидуального предпринимателя (для индивидуальных предпринимателей);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не иметь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участника, являющегося юридическим лицом, об индивидуальном предпринимателе;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не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не получать средства из бюджета автономного округа на основании иных нормативных правовых актов автономного округа на цель, установленную </w:t>
      </w:r>
      <w:hyperlink w:anchor="Par11439" w:tooltip="1.3. Грант предоставляется с целью финансового обеспечения затрат по реализации общественно значимых программ и проектов, направленных на осуществление деятельности по организации отдыха и оздоровления детей (далее - проекты (программы)).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пунктом 1.3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" w:name="Par11466"/>
      <w:bookmarkEnd w:id="1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2.3. Участник для участия в Конкурсе направляет в Департамент заявку, в которую входят: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заявление (содержащее указание на номинацию Конкурса, согласие на публикацию (размещение) в информационной телекоммуникационной сети Интернет информации об участнике, о подаваемой им заявке, иной информации об участнике, связанной с Конкурсом, а также согласие на обработку персональных данных (для физического лица)) по форме, утвержденной Департаментом;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проект (программа);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информационно-аналитическая записка о деятельности участника (объемом не более 10 страниц формата А4):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об истории его создания;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 количестве и продолжительности смен;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 предоставляемых услугах отдыха и оздоровления детей;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об обеспеченности спортивным, игровым, трудовым инвентарем, библиотечным фондом, материалами для занятий творчеством;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 средней заполняемости (рассчитываемой в процентном соотношении численности детей, получивших услуги у участника, за год, предшествующий проведению Конкурса, к предельному числу мест);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об отсутствии/выявлении очагов инфекционных заболеваний у детей, травматизма, несчастных случаев, произошедших с ними в период предоставления услуг участником в текущем году, а также в году, предшествующем проведению Конкурса;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 формах санитарно-просветительской деятельности, организованной медицинским работником (при наличии);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 количестве детей, находящихся в трудной жизненной ситуации, посещающих участника в текущем году, в том числе состоящих на учете в органах и учреждениях системы профилактики безнадзорности и правонарушений несовершеннолетних;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 реализации мероприятий, способствующих сохранению, развитию, популяризации фольклора, традиций, языка, народных промыслов и традиционной хозяйственной деятельности коренных малочисленных народов Севера, развитию этнографического туризма (дополнительно для номинации "Лучший лагерь с этнокультурным компонентом");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 социальной значимости проекта (программы), личном вкладе каждого лица, принимающего участие в проекте (программе) оздоровительной смены (дополнительно для номинации "Лучший палаточный лагерь");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 трудовой направленности участника в механизме плана воспитательной работы: в игровой идее, в деятельности органов детского самоуправления; в формах работы (для номинации "Лучший лагерь труда и отдыха");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фото, аудио, видеоматериалы; буклеты, листовки, </w:t>
      </w:r>
      <w:proofErr w:type="spellStart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флаеры</w:t>
      </w:r>
      <w:proofErr w:type="spellEnd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, иллюстрирующие образовательно-досуговую деятельность участника, формы санитарно-просветительской деятельности, а также созданные условия отдыха и оздоровления детей (при наличии);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копия положения (приказа) участника о проведении внутреннего контроля качества предоставляемых им услуг;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копии документов, подтверждающих прохождение работниками участника, обеспечивающими отдых, оздоровление и занятость детей, дополнительных профессиональных программ, обучения мерам пожарной безопасности, профессиональной гигиенической подготовки и аттестации в период оздоровительной кампании детей в текущем году, а также в году, предшествующем проведению Конкурса;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программу оздоровительных процедур и медицинских услуг (при наличии);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отзывы (родителей, детей, работников участника, независимых организаций, в том числе в средствах массовой информации) о деятельности участника (при наличии);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в случае если участник является бюджетным или автономным учреждением и Департамент не осуществляет в отношении него функции и полномочия учредителя, согласие органа государственной власти (государственного органа) и (или) органа местного самоуправления, осуществляющих функции и полномочия учредителя в отношении такого участника, на его участие в Конкурсе, оформленное на бланке учредителя;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справка, подтверждающая отсутствие у участника на первое число месяца, предшествующего месяцу подачи заявки, просроченной задолженности по субсидиям, бюджетным инвестициям и иным средствам, предоставленным из бюджета автономного округа в соответствии с нормативными правовыми актами автономного округа (договорами (соглашениями) о предоставлении субсидий, бюджетных инвестиций) (для некоммерческих организаций по форме установленной Департаментом; для иных юридических лиц, индивидуальных предпринимателей по форме, утвержденной Департаментом финансов автономного округа).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2.4. Участник имеет право подать на Конкурс только 1 заявку.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В случае представления 2 и более заявок к рассмотрению принимается заявка, зарегистрированная ранее.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" w:name="Par11490"/>
      <w:bookmarkEnd w:id="2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2.5. Участник представляет заявку на бумажном носителе в Департамент по адресу: 628011, Ханты-Мансийский автономный округ - Югра, г. Ханты-Мансийск, ул. Чехова, д. 12, сформированной в 1 прошнурованный и пронумерованный комплект непосредственно или почтовым отправлением.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Должностное лицо Департамента регистрирует поступившие заявки (изменения в заявки) в едином программном продукте "Система автоматизации делопроизводства и электронного документооборота "Дело", указывая дату и время их регистрации.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Копию зарегистрированной заявки в срок не позднее 3 рабочих дней с даты регистрации Департамент направляет участнику посредством электронного документооборота по адресу электронной почты участника, указанному в заявке.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2.6. В случае если последний день приема заявок приходится на нерабочий, праздничный день, днем окончания срока приема заявок считается следующий за ним рабочий день.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2.7. Внесение участником изменений в заявку или ее отзыв допускается до окончания срока приема заявок, установленного в объявлении, путем направления в Департамент соответствующего обращения, составленного в произвольной форме, непосредственно или почтовым отправлением по адресу, указанному в </w:t>
      </w:r>
      <w:hyperlink w:anchor="Par11490" w:tooltip="2.5. Участник представляет заявку на бумажном носителе в Департамент по адресу: 628011, Ханты-Мансийский автономный округ - Югра, г. Ханты-Мансийск, ул. Чехова, д. 12, сформированной в 1 прошнурованный и пронумерованный комплект непосредственно или почтовым от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2.5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При поступлении изменений в ранее поданную заявку она считается новой и регистрируется в соответствии с </w:t>
      </w:r>
      <w:hyperlink w:anchor="Par11490" w:tooltip="2.5. Участник представляет заявку на бумажном носителе в Департамент по адресу: 628011, Ханты-Мансийский автономный округ - Югра, г. Ханты-Мансийск, ул. Чехова, д. 12, сформированной в 1 прошнурованный и пронумерованный комплект непосредственно или почтовым от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пунктом 2.5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Порядка. Ранее поданная заявка не возвращается.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Отозванная заявка не учитывается при подсчете количества заявок, зарегистрированных для участия в Конкурсе.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Заявки, зарегистрированные для участия в Конкурсе, возврату не подлежат.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3" w:name="Par11498"/>
      <w:bookmarkEnd w:id="3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2.8. Департамент в течение 5 рабочих дней со дня окончания приема заявок в порядке межведомственного информационного взаимодействия в соответствии с законодательством Российской Федерации запрашивает в отношении участников (если они не представили такие документы самостоятельно):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документ (сведения) территориального отдела Управления Федеральной службы по надзору в сфере защиты прав потребителей и благополучия человека по автономному округу о наличии/отсутствии нарушений участником санитарно-эпидемиологических требований в период оздоровительной кампании детей в текущем году, а также в году, предшествующем проведению Конкурса;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документ территориального отдела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автономному округу о наличии/отсутствии нарушений участником требований пожарной безопасности в период оздоровительной кампании детей в текущем году, а также в году, предшествующем проведению Конкурса;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выписку из Единого государственного реестра юридических лиц или Единого государственного реестра индивидуальных предпринимателей в Управлении Федеральной налоговой службы по автономному округу;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сведения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о налогах и сборах в Управлении Федеральной налоговой службы по автономному округу;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выписку из реестра дисквалифицированных лиц в Управлении Федеральной налоговой службы по автономному округу.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Участник вправе представить документы, указанные в </w:t>
      </w:r>
      <w:hyperlink w:anchor="Par11498" w:tooltip="2.8. Департамент в течение 5 рабочих дней со дня окончания приема заявок в порядке межведомственного информационного взаимодействия в соответствии с законодательством Российской Федерации запрашивает в отношении участников (если они не представили такие докуме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настоящем пункте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>, по собственной инициативе при подаче заявки.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" w:name="Par11505"/>
      <w:bookmarkEnd w:id="4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2.9. На первом этапе Конкурса Департамент в течение 10 рабочих дней со дня окончания приема заявок проверяет участников на соответствие требованиям, установленным </w:t>
      </w:r>
      <w:hyperlink w:anchor="Par11444" w:tooltip="1.6. Право на получение Гранта имеют участники, соответствующие следующим критериям: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пунктами 1.6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11459" w:tooltip="2.2. На дату начала срока приема заявок участник должен соответствовать следующим требованиям: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2.2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Порядка, рассматривает заявки на соответствие требованиям, установленным </w:t>
      </w:r>
      <w:hyperlink w:anchor="Par11466" w:tooltip="2.3. Участник для участия в Конкурсе направляет в Департамент заявку, в которую входят: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пунктами 2.3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11490" w:tooltip="2.5. Участник представляет заявку на бумажном носителе в Департамент по адресу: 628011, Ханты-Мансийский автономный округ - Югра, г. Ханты-Мансийск, ул. Чехова, д. 12, сформированной в 1 прошнурованный и пронумерованный комплект непосредственно или почтовым от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2.5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" w:name="Par11506"/>
      <w:bookmarkEnd w:id="5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2.10. В течение 5 рабочих дней после окончания проверки участников и рассмотрения заявок в соответствии с </w:t>
      </w:r>
      <w:hyperlink w:anchor="Par11505" w:tooltip="2.9. На первом этапе Конкурса Департамент в течение 10 рабочих дней со дня окончания приема заявок проверяет участников на соответствие требованиям, установленным пунктами 1.6, 2.2 Порядка, рассматривает заявки на соответствие требованиям, установленным пункта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пунктом 2.9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 Департамент принимает решение о допуске или отказе в допуске (по основаниям, предусмотренным </w:t>
      </w:r>
      <w:hyperlink w:anchor="Par11507" w:tooltip="2.11. Основаниями для отклонения заявки и отказе в допуске к участию во втором этапе Конкурса являются: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пунктом 2.11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Порядка) участников ко второму этапу Конкурса, которое оформляет своим приказом и размещает его на официальном сайте и едином портале (при наличии технической возможности).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" w:name="Par11507"/>
      <w:bookmarkEnd w:id="6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2.11. Основаниями для отклонения заявки и отказе в допуске к участию во втором этапе Конкурса являются: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несоответствие участника требованиям, определенным </w:t>
      </w:r>
      <w:hyperlink w:anchor="Par11444" w:tooltip="1.6. Право на получение Гранта имеют участники, соответствующие следующим критериям: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пунктами 1.6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11459" w:tooltip="2.2. На дату начала срока приема заявок участник должен соответствовать следующим требованиям: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2.2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несоответствие заявки требованиям, определенным </w:t>
      </w:r>
      <w:hyperlink w:anchor="Par11466" w:tooltip="2.3. Участник для участия в Конкурсе направляет в Департамент заявку, в которую входят: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пунктами 2.3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11490" w:tooltip="2.5. Участник представляет заявку на бумажном носителе в Департамент по адресу: 628011, Ханты-Мансийский автономный округ - Югра, г. Ханты-Мансийск, ул. Чехова, д. 12, сформированной в 1 прошнурованный и пронумерованный комплект непосредственно или почтовым от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2.5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Порядка, указанным в объявлении, ее непредставление (представление не в полном объеме);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недостоверность представленной участником информации, в том числе о месте его нахождения и адресе;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подача участником заявки после даты и (или) времени, определенных для ее подачи.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2.12. В случае отклонения всех поступивших заявок по основаниям, предусмотренным </w:t>
      </w:r>
      <w:hyperlink w:anchor="Par11507" w:tooltip="2.11. Основаниями для отклонения заявки и отказе в допуске к участию во втором этапе Конкурса являются: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пунктом 2.11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Порядка, Департамент не позднее 5 рабочих дней со дня окончания срока проверки участников, рассмотрения заявок в соответствии с </w:t>
      </w:r>
      <w:hyperlink w:anchor="Par11505" w:tooltip="2.9. На первом этапе Конкурса Департамент в течение 10 рабочих дней со дня окончания приема заявок проверяет участников на соответствие требованиям, установленным пунктами 1.6, 2.2 Порядка, рассматривает заявки на соответствие требованиям, установленным пункта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пунктом 2.9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 принимает решение о признании Конкурса несостоявшимся, которое утверждает своим приказом.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2.13. Департамент не позднее 3 рабочих дней со дня принятия решения, указанного в </w:t>
      </w:r>
      <w:hyperlink w:anchor="Par11506" w:tooltip="2.10. В течение 5 рабочих дней после окончания проверки участников и рассмотрения заявок в соответствии с пунктом 2.9 Порядка Департамент принимает решение о допуске или отказе в допуске (по основаниям, предусмотренным пунктом 2.11 Порядка) участников ко второ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2.10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Порядка, направляет участнику уведомление (нарочно или почтой) об отклонении его заявки и отказе в допуске к участию во втором этапе Конкурса с изложением оснований отклонения.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2.14. Заявки участников, прошедших во второй этап Конкурса, Департамент не позднее 3 рабочих дней со дня издания приказа, указанного в </w:t>
      </w:r>
      <w:hyperlink w:anchor="Par11506" w:tooltip="2.10. В течение 5 рабочих дней после окончания проверки участников и рассмотрения заявок в соответствии с пунктом 2.9 Порядка Департамент принимает решение о допуске или отказе в допуске (по основаниям, предусмотренным пунктом 2.11 Порядка) участников ко второ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2.10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Порядка, передает Комиссии.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Положение и состав Комиссии Департамент утверждает своим приказом. В состав Комиссии включаются представители органов государственной власти автономного округа и независимые эксперты (представители Общественной палаты автономного округа, Общественного совета при </w:t>
      </w:r>
      <w:r w:rsidRPr="00CF4BA6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Департаменте, государственных учреждений, общественных организаций). Комиссия состоит из председателя, заместителя председателя, секретаря и членов Комиссии.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Членом Комиссии не может быть представитель участника или лицо, состоящее в штате участника.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Комиссия оценивает проекты (программы) в соответствии с критериями оценки, определенными </w:t>
      </w:r>
      <w:hyperlink w:anchor="Par11711" w:tooltip="2.17. Каждый член Комиссии оценивает представленный проект (программу) и заполняет оценочный лист.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пунктом 2.17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Порядка, путем заполнения оценочных листов по форме, утвержденной приказом Департамента.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2.15. Департамент организует заседание Комиссии, на котором оцениваются проекты (программы), не позднее 10 рабочих дней со дня издания приказа, предусмотренного </w:t>
      </w:r>
      <w:hyperlink w:anchor="Par11506" w:tooltip="2.10. В течение 5 рабочих дней после окончания проверки участников и рассмотрения заявок в соответствии с пунктом 2.9 Порядка Департамент принимает решение о допуске или отказе в допуске (по основаниям, предусмотренным пунктом 2.11 Порядка) участников ко второ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пунктом 2.10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2.16. Критерии оценки проектов (программ):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3969"/>
        <w:gridCol w:w="1247"/>
      </w:tblGrid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Методика начисления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Максимальное количество баллов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Средняя заполняемость участника, рассчитанная в процентном соотношении от численности детей, отдохнувших в нем в текущем году, к предельному числу мест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заполняемость от 75% до 100% - 3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заполняемость от 50% до 75%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заполняемость ниже 50% - 1 балл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современной инфраструктуры участника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в полном объеме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не в полном объеме - 1 балл;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укомплектован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Укомплектованность участника медицинскими работниками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собственными кадрами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привлеченными сотрудниками - 1 балл;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укомплектован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Укомплектованность участника педагогическими работниками, из них: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собственными кадрами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привлеченными сотрудниками - 1 балл;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укомплектован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психологами/педагогами-психологами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на 100% собственными работниками - 3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от 100% до 50% (привлеченные сотрудники)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только привлеченными сотрудниками - 1 балл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педагогическими работниками дополнительного 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собственными кадрами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привлеченными сотрудниками - 1 балл;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укомплектован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педагогическими работниками по физической культуре и спорту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собственными кадрами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укомплектован привлеченными сотрудниками - 1 балл;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укомплектован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Наличие социального партнерства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- 10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Организация комплексной безопасности и выполнение санитарно-эпидемиологических требований на территории участника в период оздоровительной кампании детей в текущем году, а также в году, предшествующем проведению Конкурса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очагов инфекционных заболеваний в текущем году, а также в году, предшествующем проведению Конкурса (при наличии очагов инфекционных заболеваний в предшествующем году)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- 30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30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нарушений при организации питания (при наличии нарушений в предшествующем году)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- 30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30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Доля выполненных предписаний об устранении выявленных нарушений обязательных требований, выданных Управлением Федеральной службы по надзору в сфере защиты прав потребителей и благополучия человека по автономному округу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 0% до 80% - 0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 81% до 85% - 5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 86% до 90% - 10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 91% до 95% - 15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 96% до 100% - 20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травм, повлекших вред здоровью, у детей в период оздоровительной кампании (при возникновении травм в предшествующем году)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- 10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Соблюдение требований пожарной безопасности (при наличии нарушений в предшествующем году)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- 30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30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Доля выполненных предписаний об устранении выявленных нарушений обязательных требований, выданных Главным Управлением Министерства Российской Федерации по делам гражданской обороны, чрезвычайным ситуациям и ликвидации последствий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стихийных бедствий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 0% до 80% - 0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 81% до 85% - 5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 86% до 90% - 10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 91% до 95% - 15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 96% до 100% - 20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Информационная открытость участника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в информационно-телекоммуникационной сети Интернет актуального официального сайта/страницы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анонсов мероприятия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интервью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фото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видеороликов - 2 балла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освещение деятельности участника (с представлением подтверждающих материалов)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средствах массовой информации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 радио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печати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 телевидении - 2 балла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наличие фотоматериалов, иллюстрирующих досугово-оздоровительную деятельность участника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- 5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видеоматериалов, иллюстрирующих досугово-оздоровительную деятельность участника, а также созданные условий отдыха и оздоровления детей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- 5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различных форм санитарно-просветительской деятельности, организованной медицинским работником, с представлением подтверждающих материалов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видеороликов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тренингов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профилактических акций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информационной площадки по борьбе с вредными привычками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информационной площадки по оказанию первой медицинской помощи - 2 балла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Для номинации "Лучший загородный оздоровительный лагерь"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благоустроенные гигиенические комнаты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 балла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система отопления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 балла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система кондиционирования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 балла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гладильная комната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 балла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сушильная комната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 балла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Для номинации "Лучший лагерь с этнокультурным компонентом"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привлечение специалистов - носителей традиций коренных малочисленных народов Севера в сфере изучения родного языка, фольклора, танцевального и музыкального искусства, декоративно-прикладного творчества, </w:t>
            </w:r>
            <w:proofErr w:type="spellStart"/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этноспорта</w:t>
            </w:r>
            <w:proofErr w:type="spellEnd"/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, этнографии и этнологии, традиционных навыков (ловля рыбы народными способами, сбор дикоросов, установка и плетение рыболовецких снастей, изготовление охотничьих ловушек)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привлекаются - 5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привлекаются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использование фольклорного и этнографического материала коренных малочисленных народов Севера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используются - 5 баллов;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используются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наличие и использование традиционной одежды обских </w:t>
            </w:r>
            <w:proofErr w:type="spellStart"/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угров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- 1 балл;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обеспеченность традиционными предметами быта коренных </w:t>
            </w: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малочисленных народов Севера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наличие - 1 балл;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Для номинации "Лучший палаточный лагерь"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социальная значимость программы (проекта)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вовлечение детей в проектную деятельность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проведение тематических мероприятий для совместного досуга детей и родителей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организация работы с подростками, состоящими на учете в органах и учреждениях системы профилактики безнадзорности и правонарушений несовершеннолетних - 2 балла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личный вклад каждого лица, принимающего участие в программе (проекте), в социально значимую деятельность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участие детей в планировании, разработке и реализации программы (проекта) оздоровительной смены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создание условий для реализации личных инициатив в рамках реализуемой программы (проекта) - 2 балла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Для номинации "Лучший лагерь труда и отдыха"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порядок организации трудовой деятельности участником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режим труда и отдыха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виды выполняемых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предусмотрены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предусмотрены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специальной формы одежды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наличие - 2 балла;</w:t>
            </w:r>
          </w:p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отсутствие - 0 баллов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58335B" w:rsidRPr="00CF4BA6" w:rsidTr="00815EB0"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Итоговый балл по номинациям </w:t>
            </w:r>
            <w:hyperlink w:anchor="Par11709" w:tooltip="&lt;*&gt; По каждому проекту (программе) рассчитывается как максимальная сумма баллов по всем критериям оценки" w:history="1">
              <w:r w:rsidRPr="00CF4BA6">
                <w:rPr>
                  <w:rFonts w:ascii="Arial" w:eastAsiaTheme="minorEastAsia" w:hAnsi="Arial" w:cs="Arial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"Лучший загородный оздоровительный лагерь"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212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"Лучший лагерь с этнокультурным компонентом"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214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"Лучший палаточный лагерь"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212</w:t>
            </w:r>
          </w:p>
        </w:tc>
      </w:tr>
      <w:tr w:rsidR="0058335B" w:rsidRPr="00CF4BA6" w:rsidTr="00815EB0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"Лучший лагерь труда и отдыха"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208</w:t>
            </w:r>
          </w:p>
        </w:tc>
      </w:tr>
    </w:tbl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" w:name="Par11709"/>
      <w:bookmarkEnd w:id="7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&lt;*&gt; По каждому проекту (программе) рассчитывается как максимальная сумма баллов по всем критериям оценки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8" w:name="Par11711"/>
      <w:bookmarkEnd w:id="8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2.17. Каждый член Комиссии оценивает представленный проект (программу) и заполняет оценочный лист.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На основании оценочных листов членов Комиссии секретарь формирует итоговую оценочную ведомость, которая утверждается протоколом о результатах оценки (далее - протокол) и направляется в Департамент в срок не позднее 3 рабочих дней со дня утверждения протокола.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2.18. Департамент в течение 5 рабочих дней со дня утверждения протокола ранжирует участников в соответствии с количеством баллов, набранных представленными ими проектами (программами) по номинациям, и оформляет своим приказом решение об определении получателей и предоставлении им Гранта (далее - Приказ).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Получателями признаются по 3 участника в каждой номинации, чьи проекты (программы) набрали наибольшее количество баллов.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1 степени в номинации присуждается получателю, чей проект (программа) набрал(а) наибольшее количество баллов в номинации.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2 степени в номинации присуждается получателю, чей проект (программа) набрал(а) меньшее количество баллов, чем проект (программа) получателя, которому присужден Грант 1 степени, но больше всех остальных проектов (программ) в номинации.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3 степени в номинации присуждается получателю, чей проект (программа) набрал(а) меньшее количество баллов, чем проект (программа) получателя, которому присужден Грант 2 степени, но больше всех остальных проектов (программ) в номинации.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В случае если ко второму этапу конкурса допущен только один участник, то он признается получателем, при условии, что его проект (программа) набрал не менее 105 баллов в соответствующей номинации от каждого члена Комиссии.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При равном количестве баллов получателем признается участник, подавший заявку ранее других.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9" w:name="Par11720"/>
      <w:bookmarkEnd w:id="9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2.19. Департамент не позднее 3-го рабочего дня, следующего за днем подписания Приказа, размещает на едином портале (при наличии технической возможности), официальном сайте информацию о результатах Конкурса, с указанием следующих сведений: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дата, время и место рассмотрения заявок;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дата, время и место оценки проектов (программ);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информация об участниках, проекты (программы) которых были рассмотрены;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информация об участниках, заявки которых были отклонены с указанием причин их отклонения, в том числе положений объявления, которым не соответствуют такие заявки;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последовательность рассмотрения заявок, оценки проектов (программ), присвоенные проектам (программам) значения (баллы) по каждому из предусмотренных критериев оценки, принятое на основании результатов оценки решение;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наименования получателей, с которыми заключаются соглашения, размеры предоставляемых им Грантов.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С 1 января 2025 года сведения, указанные в </w:t>
      </w:r>
      <w:hyperlink w:anchor="Par11720" w:tooltip="2.19. Департамент не позднее 3-го рабочего дня, следующего за днем подписания Приказа, размещает на едином портале (при наличии технической возможности), официальном сайте информацию о результатах Конкурса, с указанием следующих сведений: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настоящем пункте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>, размещаются на едином портале (в случае проведения Конкурса в системе "Электронный бюджет") или на ином сайте, на котором обеспечивается проведение Конкурса (с размещением указателя страницы сайта на едином портале)), а также на официальном сайте в информационно-телекоммуникационной сети Интернет.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Раздел III. УСЛОВИЯ И ПОРЯДОК ПРЕДОСТАВЛЕНИЯ ГРАНТА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3.1. Размеры Гранта: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В номинации "Лучший загородный оздоровительный лагерь":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1 степени - 200000 рублей;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2 степени - 180000 рублей;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3 степени - 160000 рублей.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В номинации "Лучший палаточный лагерь":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Грант 1 степени - 110000 рублей;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2 степени - 90000 рублей;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3 степени - 30000 рублей.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В номинации "Лучший лагерь труда и отдыха":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1 степени - 110000 рублей;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2 степени - 90000 рублей;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3 степени - 30000 рублей.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В номинации "Лучший лагерь с этнокультурным компонентом":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1 степени - 110000 рублей;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2 степени - 90000 рублей;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Грант 3 степени - 30000 рублей.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3.2. Перечень затрат, на финансовое обеспечение которых предоставляется Грант: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аренда (содержание) помещения для проведения мероприятий проекта (программы);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оплата транспорта, осуществляющего подвоз несовершеннолетних, молодежи и других участников к месту проведения мероприятий проекта (программы);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услуги связи, требуемые при организации и реализации мероприятий проекта (программы);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оплата питания лиц, принимающих участие при проведении мероприятий проекта (программы) и экспертов;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обеспечение мер безопасности при проведении мероприятий проекта (программы);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оплата труда работников, осуществляющих организацию и проведение мероприятий проекта (программы);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командировочные расходы, возникающие при реализации мероприятий проекта (программы);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приобретение игр, оборудования, расходных материалов, сувенирной продукции, методической литературы;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изготовление полиграфической продукции для наглядной демонстрации во время проведения мероприятий проекта (программы).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0" w:name="Par11758"/>
      <w:bookmarkEnd w:id="10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3.3. Соглашение, дополнительное соглашение о внесении в него изменений и дополнительное соглашение о расторжении соглашения заключается в государственной информационной системе автономного округа "Региональный электронный бюджет Югры" (далее - информационная система) в соответствии с типовой формой, утвержденной Департаментом финансов автономного округа.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Получатель в случае если он не подключен к информационной системе, в течение 10 рабочих дней с даты издания Приказа направляет в Департамент заявку для подключения к информационной системе. Департамент в течение 3 рабочих дней со дня получения заявки о подключения к информационной системе направляет ее в Департамент финансов автономного округа.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Департамент формирует и направляет получателю проект соглашения в информационной системе в течение 5 рабочих дней с даты издания Приказа или с даты подключения получателя к информационной системе.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1" w:name="Par11761"/>
      <w:bookmarkEnd w:id="11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3.4. Уполномоченное должностное лицо получателя в течение 5 рабочих дней со дня получения проекта соглашения подписывает его с приложением заверенной копии документа, подтверждающего его полномочия.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 xml:space="preserve">3.5. Департамент подписывает соглашение в течение 5 рабочих дней со дня получения документов, указанных в </w:t>
      </w:r>
      <w:hyperlink w:anchor="Par11761" w:tooltip="3.4. Уполномоченное должностное лицо получателя в течение 5 рабочих дней со дня получения проекта соглашения подписывает его с приложением заверенной копии документа, подтверждающего его полномочия.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пункте 3.4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Основаниями для отказа в предоставлении Гранта и заключении соглашения являются: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представление получателем соглашения, подписанного с нарушением установленной формы;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подписание соглашения неуполномоченным лицом;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непредставление подписанного соглашения в установленный срок;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установление факта недостоверности представленной получателем информации.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3.6. Грант перечисляется в течение 15 рабочих дней со дня заключения соглашения на счета, указанные в нем.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Перечисление Гранта осуществляется следующим образом: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а) индивидуальным предпринимателям, юридическим лицам, за исключением бюджетных (автономных) учреждений, - на расчетные счета, открытые в российских кредитных организациях;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б) бюджетным учреждениям - на лицевые счета, открытые в территориальном органе Федерального казначейства или финансовом органе автономного округа (муниципального образования);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в) автономным учреждениям - на лицевые счета, открытые в территориальном органе Федерального казначейства, финансовом органе автономного округа (муниципального образования), или расчетные счета, открытые в российских кредитных организациях.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3.7. В случае неисполнения получателями </w:t>
      </w:r>
      <w:hyperlink w:anchor="Par11758" w:tooltip="3.3. Соглашение, дополнительное соглашение о внесении в него изменений и дополнительное соглашение о расторжении соглашения заключается в государственной информационной системе автономного округа &quot;Региональный электронный бюджет Югры&quot; (далее - информационная с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пунктов 3.3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, </w:t>
      </w:r>
      <w:hyperlink w:anchor="Par11761" w:tooltip="3.4. Уполномоченное должностное лицо получателя в течение 5 рабочих дней со дня получения проекта соглашения подписывает его с приложением заверенной копии документа, подтверждающего его полномочия.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3.4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 они считаются уклонившимися от заключения соглашения.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3.8. Соглашение содержит: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положение об обеспечении получателем при проведении мероприятий с участием граждан мер безопасности в соответствии с законодательством Российской Федерации;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результат предоставления Гранта, и показатели, необходимые для достижения результатов предоставления Гранта, включая показатели в части материальных и нематериальных объектов и (или) услуг, планируемых к получению при достижении результатов предоставления Гранта (при возможности такой детализации), значения которых устанавливаются в соглашении;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перечень затрат, источником финансового обеспечения которых является Грант;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согласие получателя на размещение на официальном сайте отчетов о выполнении условий, целей, порядка предоставления и использовании Гранта;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требование к формам и срокам представления отчетности об осуществлении расходов, источником финансового обеспечения которых является Грант, о достижении значений результатов и показателей предоставления Гранта;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согласие получателя, а также лиц, получающих средства на основании договоров, заключенных с получателями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них проверки Департаментом и органами финансового контроля за соблюдением целей, условий и порядка предоставления Гранта;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условия о согласовании новых условий соглашения или о расторжении соглашения при </w:t>
      </w:r>
      <w:proofErr w:type="spellStart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>недостижении</w:t>
      </w:r>
      <w:proofErr w:type="spellEnd"/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согласия по новым условиям в случае уменьшения Департаменту ранее доведенных лимитов бюджетных обязательств, приводящего к невозможности предоставления Гранта в размере, определенном в соглашении;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информацию о запрете приобретения получателями, а также иными юридическими лицами, </w:t>
      </w:r>
      <w:r w:rsidRPr="00CF4BA6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получающими средства на основании договоров, заключенных с получателями, за счет полученных из бюджета автономного округа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3.9. Результат предоставления Гранта, указанный в таблице, должен быть достигнут получателем на 25 декабря года, в котором предоставлен Грант.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Таблица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8"/>
        <w:gridCol w:w="1274"/>
        <w:gridCol w:w="1133"/>
        <w:gridCol w:w="3396"/>
      </w:tblGrid>
      <w:tr w:rsidR="0058335B" w:rsidRPr="00CF4BA6" w:rsidTr="00815EB0"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6" w:tooltip="&quot;ОК 015-94 (МК 002-97). Общероссийский классификатор единиц измерения&quot; (утв. Постановлением Госстандарта России от 26.12.1994 N 366) (ред. от 23.12.2021){КонсультантПлюс}" w:history="1">
              <w:r w:rsidRPr="00CF4BA6">
                <w:rPr>
                  <w:rFonts w:ascii="Arial" w:eastAsiaTheme="minorEastAsia" w:hAnsi="Arial" w:cs="Arial"/>
                  <w:color w:val="0000FF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Значение результата</w:t>
            </w:r>
          </w:p>
        </w:tc>
      </w:tr>
      <w:tr w:rsidR="0058335B" w:rsidRPr="00CF4BA6" w:rsidTr="00815EB0"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8335B" w:rsidRPr="00CF4BA6" w:rsidTr="00815EB0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58335B" w:rsidRPr="00CF4BA6" w:rsidTr="00815EB0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Количество детей, обеспеченных отдыхом и оздоровлением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5B" w:rsidRPr="00CF4BA6" w:rsidRDefault="0058335B" w:rsidP="00815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CF4BA6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Конечное значение результата предоставления Гранта устанавливается соглашением</w:t>
            </w:r>
          </w:p>
        </w:tc>
      </w:tr>
    </w:tbl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3.10. Порядок и сроки возврата Гранта в бюджет автономного округа в случае нарушения условий его предоставления определены в </w:t>
      </w:r>
      <w:hyperlink w:anchor="Par11810" w:tooltip="Раздел V. ТРЕБОВАНИЯ ОБ ОСУЩЕСТВЛЕНИИ КОНТРОЛЯ (МОНИТОРИНГА)" w:history="1">
        <w:r w:rsidRPr="00CF4BA6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разделе V</w:t>
        </w:r>
      </w:hyperlink>
      <w:r w:rsidRPr="00CF4BA6">
        <w:rPr>
          <w:rFonts w:ascii="Arial" w:eastAsiaTheme="minorEastAsia" w:hAnsi="Arial" w:cs="Arial"/>
          <w:sz w:val="20"/>
          <w:szCs w:val="20"/>
          <w:lang w:eastAsia="ru-RU"/>
        </w:rPr>
        <w:t xml:space="preserve"> Порядка.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b/>
          <w:bCs/>
          <w:sz w:val="20"/>
          <w:szCs w:val="20"/>
          <w:lang w:eastAsia="ru-RU"/>
        </w:rPr>
        <w:t>Раздел IV. ТРЕБОВАНИЯ К ОТЧЕТНОСТИ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4.1. Получатель представляет в Департамент отчетность в соответствии с формами, указанными в соглашении: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4.1.1. О достижении значений результатов и показателей предоставления Гранта - ежеквартально не позднее 25-го числа месяца, следующего за отчетным кварталом.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4.1.2. Об осуществлении расходов, источником финансового обеспечения которых является Грант, - в срок не позднее 25 декабря текущего года.</w:t>
      </w:r>
    </w:p>
    <w:p w:rsidR="0058335B" w:rsidRPr="00CF4BA6" w:rsidRDefault="0058335B" w:rsidP="0058335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CF4BA6">
        <w:rPr>
          <w:rFonts w:ascii="Arial" w:eastAsiaTheme="minorEastAsia" w:hAnsi="Arial" w:cs="Arial"/>
          <w:sz w:val="20"/>
          <w:szCs w:val="20"/>
          <w:lang w:eastAsia="ru-RU"/>
        </w:rPr>
        <w:t>4.2. Департамент вправе устанавливать в соглашении сроки и формы представления получателем дополнительной отчетности.</w:t>
      </w:r>
    </w:p>
    <w:p w:rsidR="003C75D9" w:rsidRDefault="003C75D9">
      <w:bookmarkStart w:id="12" w:name="_GoBack"/>
      <w:bookmarkEnd w:id="12"/>
    </w:p>
    <w:sectPr w:rsidR="003C7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35B"/>
    <w:rsid w:val="003C75D9"/>
    <w:rsid w:val="0058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1FCEB-8331-45AE-B23C-1106F416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3DD11C445F0F4BDDE16FD8F9314D2E6997B9D44ACECA054F917CF8FA291D375F7598EA54B452D54AD31DDFC3qC4EJ" TargetMode="External"/><Relationship Id="rId5" Type="http://schemas.openxmlformats.org/officeDocument/2006/relationships/hyperlink" Target="consultantplus://offline/ref=513DD11C445F0F4BDDE16FD8F9314D2E6997B8DC4FCFCA054F917CF8FA291D374D75C0E457BE18840A9812DDC0D20E8389E6F197q747J" TargetMode="External"/><Relationship Id="rId4" Type="http://schemas.openxmlformats.org/officeDocument/2006/relationships/hyperlink" Target="consultantplus://offline/ref=513DD11C445F0F4BDDE171D5EF5D1A216B9DE5D848CBC25510CC7AAFA5791B620D35C6B307F119D84CCC01DFC5D20C8795qE4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5778</Words>
  <Characters>32941</Characters>
  <Application>Microsoft Office Word</Application>
  <DocSecurity>0</DocSecurity>
  <Lines>274</Lines>
  <Paragraphs>77</Paragraphs>
  <ScaleCrop>false</ScaleCrop>
  <Company>diakov.net</Company>
  <LinksUpToDate>false</LinksUpToDate>
  <CharactersWithSpaces>38642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2023-07-04T06:50:00Z</dcterms:created>
  <dcterms:modified xsi:type="dcterms:W3CDTF">2023-07-04T06:52:00Z</dcterms:modified>
</cp:coreProperties>
</file>